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93" w:rsidRDefault="003F5E93" w:rsidP="003F5E93">
      <w:pPr>
        <w:rPr>
          <w:rFonts w:ascii="Arial" w:hAnsi="Arial" w:cs="Arial"/>
        </w:rPr>
      </w:pPr>
      <w:bookmarkStart w:id="0" w:name="_GoBack"/>
      <w:bookmarkEnd w:id="0"/>
    </w:p>
    <w:p w:rsidR="00191FDA" w:rsidRPr="003F5E93" w:rsidRDefault="00191FDA" w:rsidP="003F5E93">
      <w:pPr>
        <w:rPr>
          <w:rFonts w:ascii="Arial" w:hAnsi="Arial" w:cs="Arial"/>
        </w:rPr>
      </w:pPr>
    </w:p>
    <w:p w:rsidR="003F5E93" w:rsidRPr="000A2771" w:rsidRDefault="000A2771" w:rsidP="000A2771">
      <w:pPr>
        <w:jc w:val="center"/>
        <w:rPr>
          <w:rFonts w:ascii="Arial" w:hAnsi="Arial" w:cs="Arial"/>
          <w:sz w:val="28"/>
          <w:u w:val="single"/>
        </w:rPr>
      </w:pPr>
      <w:r w:rsidRPr="000A2771">
        <w:rPr>
          <w:rFonts w:ascii="Arial" w:hAnsi="Arial" w:cs="Arial"/>
          <w:sz w:val="28"/>
          <w:u w:val="single"/>
        </w:rPr>
        <w:t>DECLARATION D’IMPOT</w:t>
      </w:r>
    </w:p>
    <w:p w:rsidR="000A2771" w:rsidRPr="000A2771" w:rsidRDefault="000A2771" w:rsidP="000A2771">
      <w:pPr>
        <w:jc w:val="center"/>
        <w:rPr>
          <w:rFonts w:ascii="Arial" w:hAnsi="Arial" w:cs="Arial"/>
          <w:sz w:val="28"/>
          <w:u w:val="single"/>
        </w:rPr>
      </w:pPr>
      <w:r w:rsidRPr="000A2771">
        <w:rPr>
          <w:rFonts w:ascii="Arial" w:hAnsi="Arial" w:cs="Arial"/>
          <w:sz w:val="28"/>
          <w:u w:val="single"/>
        </w:rPr>
        <w:t>PRINCIPAUX RENSEIGNEMENTS ET DOCUMENTS A PREPARER</w:t>
      </w:r>
    </w:p>
    <w:p w:rsidR="003F5E93" w:rsidRPr="003F5E93" w:rsidRDefault="003F5E93" w:rsidP="003F5E93">
      <w:pPr>
        <w:rPr>
          <w:rFonts w:ascii="Arial" w:hAnsi="Arial" w:cs="Arial"/>
        </w:rPr>
      </w:pPr>
    </w:p>
    <w:p w:rsidR="003F5E93" w:rsidRPr="00E83AE5" w:rsidRDefault="003F5E93" w:rsidP="003F5E93">
      <w:pPr>
        <w:rPr>
          <w:rFonts w:ascii="Arial" w:hAnsi="Arial" w:cs="Arial"/>
          <w:sz w:val="16"/>
        </w:rPr>
      </w:pPr>
    </w:p>
    <w:p w:rsidR="003F5E93" w:rsidRPr="003F5E93" w:rsidRDefault="000A2771" w:rsidP="000A2771">
      <w:pPr>
        <w:ind w:left="-567" w:right="-569"/>
        <w:rPr>
          <w:rFonts w:ascii="Arial" w:hAnsi="Arial" w:cs="Arial"/>
        </w:rPr>
      </w:pPr>
      <w:r>
        <w:rPr>
          <w:rFonts w:ascii="Arial" w:hAnsi="Arial" w:cs="Arial"/>
        </w:rPr>
        <w:t>Copie déclaration d’impôt période fiscale précédente et décompte du paiement de l’assurance incendie (mobilier) au 31 décembre (uniquement pour les nouveaux clients)</w:t>
      </w:r>
    </w:p>
    <w:p w:rsidR="003F5E93" w:rsidRPr="003F5E93" w:rsidRDefault="003F5E93" w:rsidP="003F5E93">
      <w:pPr>
        <w:rPr>
          <w:rFonts w:ascii="Arial" w:hAnsi="Arial" w:cs="Arial"/>
        </w:rPr>
      </w:pPr>
    </w:p>
    <w:p w:rsidR="003F5E93" w:rsidRPr="00E83AE5" w:rsidRDefault="003F5E93" w:rsidP="003F5E93">
      <w:pPr>
        <w:rPr>
          <w:rFonts w:ascii="Arial" w:hAnsi="Arial" w:cs="Arial"/>
          <w:sz w:val="6"/>
        </w:rPr>
      </w:pPr>
    </w:p>
    <w:p w:rsidR="000A2771" w:rsidRDefault="000A2771" w:rsidP="00D00114">
      <w:pPr>
        <w:tabs>
          <w:tab w:val="left" w:pos="2817"/>
        </w:tabs>
        <w:spacing w:line="300" w:lineRule="atLeast"/>
        <w:ind w:left="284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Situation familiale au 31 décembre, séparation ou divorce et dates de naissance complètes des enfants.</w:t>
      </w:r>
    </w:p>
    <w:p w:rsidR="000A2771" w:rsidRDefault="000A2771" w:rsidP="00D00114">
      <w:pPr>
        <w:tabs>
          <w:tab w:val="left" w:pos="2817"/>
        </w:tabs>
        <w:spacing w:line="300" w:lineRule="atLeast"/>
        <w:ind w:left="284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Certificats de salaires (également pour l’épouse si elle travaille).</w:t>
      </w:r>
    </w:p>
    <w:p w:rsidR="00534E11" w:rsidRDefault="000A2771" w:rsidP="00D00114">
      <w:pPr>
        <w:tabs>
          <w:tab w:val="left" w:pos="2817"/>
        </w:tabs>
        <w:spacing w:line="300" w:lineRule="atLeast"/>
        <w:ind w:left="284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534E11">
        <w:rPr>
          <w:rFonts w:ascii="Arial" w:hAnsi="Arial" w:cs="Arial"/>
        </w:rPr>
        <w:tab/>
        <w:t>Détail des frais professionnels (transport, repas, etc.).</w:t>
      </w:r>
    </w:p>
    <w:p w:rsidR="00534E11" w:rsidRDefault="00534E11" w:rsidP="00D00114">
      <w:pPr>
        <w:tabs>
          <w:tab w:val="left" w:pos="2817"/>
        </w:tabs>
        <w:spacing w:line="300" w:lineRule="atLeast"/>
        <w:ind w:left="284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Attestations pour les rachats d’années de cotisation LPP.</w:t>
      </w:r>
    </w:p>
    <w:p w:rsidR="00534E11" w:rsidRDefault="00534E11" w:rsidP="00D00114">
      <w:pPr>
        <w:tabs>
          <w:tab w:val="left" w:pos="2817"/>
        </w:tabs>
        <w:spacing w:line="300" w:lineRule="atLeast"/>
        <w:ind w:left="284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Attestations pour les versements effectués pour un 3</w:t>
      </w:r>
      <w:r w:rsidRPr="00534E1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pilier “Prévoyance liée”.</w:t>
      </w:r>
    </w:p>
    <w:p w:rsidR="00534E11" w:rsidRDefault="00534E11" w:rsidP="00D00114">
      <w:pPr>
        <w:tabs>
          <w:tab w:val="left" w:pos="2817"/>
        </w:tabs>
        <w:spacing w:line="300" w:lineRule="atLeast"/>
        <w:ind w:left="284" w:right="-569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Attestations d’allocations familiales si elles ne figurent pas sur le certificat de salaire. </w:t>
      </w:r>
    </w:p>
    <w:p w:rsidR="00534E11" w:rsidRDefault="00534E11" w:rsidP="00D00114">
      <w:pPr>
        <w:tabs>
          <w:tab w:val="left" w:pos="2817"/>
        </w:tabs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Attestations pour des indemnités d’assurance (maladie ou accidents) non versées par l’employeur.</w:t>
      </w:r>
    </w:p>
    <w:p w:rsidR="00534E11" w:rsidRDefault="00534E11" w:rsidP="00D00114">
      <w:pPr>
        <w:tabs>
          <w:tab w:val="left" w:pos="2817"/>
        </w:tabs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Justificatifs pour les gains accessoires éventuels perçus.</w:t>
      </w:r>
    </w:p>
    <w:p w:rsidR="00D4275F" w:rsidRDefault="00534E11" w:rsidP="00D00114">
      <w:pPr>
        <w:tabs>
          <w:tab w:val="left" w:pos="2817"/>
        </w:tabs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Rente AVS ou AI </w:t>
      </w:r>
      <w:r w:rsidR="00D4275F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retraite éventuelle (joindre l’</w:t>
      </w:r>
      <w:r w:rsidR="00D4275F">
        <w:rPr>
          <w:rFonts w:ascii="Arial" w:hAnsi="Arial" w:cs="Arial"/>
        </w:rPr>
        <w:t>attestation</w:t>
      </w:r>
      <w:r>
        <w:rPr>
          <w:rFonts w:ascii="Arial" w:hAnsi="Arial" w:cs="Arial"/>
        </w:rPr>
        <w:t xml:space="preserve"> annuelle ou le dernier</w:t>
      </w:r>
      <w:r w:rsidR="00D4275F">
        <w:rPr>
          <w:rFonts w:ascii="Arial" w:hAnsi="Arial" w:cs="Arial"/>
        </w:rPr>
        <w:t xml:space="preserve"> coupon de l’année).</w:t>
      </w:r>
      <w:r>
        <w:rPr>
          <w:rFonts w:ascii="Arial" w:hAnsi="Arial" w:cs="Arial"/>
        </w:rPr>
        <w:tab/>
      </w:r>
    </w:p>
    <w:p w:rsidR="00D4275F" w:rsidRDefault="00D4275F" w:rsidP="00D00114">
      <w:pPr>
        <w:tabs>
          <w:tab w:val="left" w:pos="2817"/>
        </w:tabs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Justificatifs de pension alimentaire (versée ou reçue).</w:t>
      </w:r>
    </w:p>
    <w:p w:rsidR="00D4275F" w:rsidRDefault="00D4275F" w:rsidP="00D00114">
      <w:pPr>
        <w:tabs>
          <w:tab w:val="left" w:pos="2817"/>
        </w:tabs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Loyers perçus par les propriétaires qui louent des biens immobiliers.</w:t>
      </w:r>
    </w:p>
    <w:p w:rsidR="00D4275F" w:rsidRDefault="00D4275F" w:rsidP="00D00114">
      <w:pPr>
        <w:spacing w:line="300" w:lineRule="atLeast"/>
        <w:ind w:left="284" w:right="-428" w:hanging="568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Pour les propriétaires d’un bien immobilier, qui occupent leurs logements, les renseignements suivants nous sont nécessaires :</w:t>
      </w:r>
    </w:p>
    <w:p w:rsidR="00D4275F" w:rsidRPr="00D4275F" w:rsidRDefault="00D4275F" w:rsidP="00D00114">
      <w:pPr>
        <w:pStyle w:val="Paragraphedeliste"/>
        <w:numPr>
          <w:ilvl w:val="0"/>
          <w:numId w:val="2"/>
        </w:numPr>
        <w:spacing w:line="300" w:lineRule="atLeast"/>
        <w:ind w:left="851" w:right="-428" w:hanging="425"/>
        <w:rPr>
          <w:rFonts w:ascii="Arial" w:hAnsi="Arial" w:cs="Arial"/>
        </w:rPr>
      </w:pPr>
      <w:r>
        <w:rPr>
          <w:rFonts w:ascii="Arial" w:hAnsi="Arial" w:cs="Arial"/>
        </w:rPr>
        <w:t>Estimation fiscale, surface habitable du logement, année de construction ou de rénovation lourde du bâtiment, année d’affectation de l’immeuble à votre logement.</w:t>
      </w:r>
    </w:p>
    <w:p w:rsidR="004047EA" w:rsidRDefault="00D4275F" w:rsidP="00D00114">
      <w:pPr>
        <w:pStyle w:val="Paragraphedeliste"/>
        <w:numPr>
          <w:ilvl w:val="0"/>
          <w:numId w:val="2"/>
        </w:numPr>
        <w:tabs>
          <w:tab w:val="left" w:pos="2817"/>
        </w:tabs>
        <w:spacing w:line="300" w:lineRule="atLeast"/>
        <w:ind w:left="851" w:right="-428" w:hanging="425"/>
        <w:rPr>
          <w:rFonts w:ascii="Arial" w:hAnsi="Arial" w:cs="Arial"/>
        </w:rPr>
      </w:pPr>
      <w:r>
        <w:rPr>
          <w:rFonts w:ascii="Arial" w:hAnsi="Arial" w:cs="Arial"/>
        </w:rPr>
        <w:t>Justificatifs des intérêts hypothécaires payés, ainsi que les soldes encore dus au 31 décembre.</w:t>
      </w:r>
    </w:p>
    <w:p w:rsidR="00D4275F" w:rsidRDefault="002C1661" w:rsidP="00D00114">
      <w:pPr>
        <w:pStyle w:val="Paragraphedeliste"/>
        <w:numPr>
          <w:ilvl w:val="0"/>
          <w:numId w:val="2"/>
        </w:numPr>
        <w:tabs>
          <w:tab w:val="left" w:pos="2817"/>
        </w:tabs>
        <w:spacing w:line="300" w:lineRule="atLeast"/>
        <w:ind w:left="851" w:right="-428" w:hanging="425"/>
        <w:rPr>
          <w:rFonts w:ascii="Arial" w:hAnsi="Arial" w:cs="Arial"/>
        </w:rPr>
      </w:pPr>
      <w:r>
        <w:rPr>
          <w:rFonts w:ascii="Arial" w:hAnsi="Arial" w:cs="Arial"/>
        </w:rPr>
        <w:t>Justificatifs des frais d’entretiens d’immeubles, taxes diverses et assurances payés durant la période fiscale (factures originales).</w:t>
      </w:r>
    </w:p>
    <w:p w:rsidR="002C1661" w:rsidRDefault="002C1661" w:rsidP="00E83AE5">
      <w:pPr>
        <w:pStyle w:val="Paragraphedeliste"/>
        <w:numPr>
          <w:ilvl w:val="0"/>
          <w:numId w:val="3"/>
        </w:numPr>
        <w:tabs>
          <w:tab w:val="left" w:pos="2817"/>
        </w:tabs>
        <w:spacing w:line="300" w:lineRule="atLeast"/>
        <w:ind w:right="-42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Renseignements sur les titres et autres placements de capitaux (attestations, relevé fiscal, etc.). Pour les titres déposés dans un </w:t>
      </w:r>
      <w:proofErr w:type="spellStart"/>
      <w:r>
        <w:rPr>
          <w:rFonts w:ascii="Arial" w:hAnsi="Arial" w:cs="Arial"/>
        </w:rPr>
        <w:t>safe</w:t>
      </w:r>
      <w:proofErr w:type="spellEnd"/>
      <w:r>
        <w:rPr>
          <w:rFonts w:ascii="Arial" w:hAnsi="Arial" w:cs="Arial"/>
        </w:rPr>
        <w:t>, il est nécessaire d’établir un inventaire de ces valeurs au 31 décembre et un relevé des mutations</w:t>
      </w:r>
      <w:r w:rsidR="0075079A">
        <w:rPr>
          <w:rFonts w:ascii="Arial" w:hAnsi="Arial" w:cs="Arial"/>
        </w:rPr>
        <w:t xml:space="preserve"> (achat</w:t>
      </w:r>
      <w:r>
        <w:rPr>
          <w:rFonts w:ascii="Arial" w:hAnsi="Arial" w:cs="Arial"/>
        </w:rPr>
        <w:t>, vente, remboursement) survenus pendant la période fiscale. Joindre également les notes d’encaissement de coupons pour les années en question.</w:t>
      </w:r>
    </w:p>
    <w:p w:rsidR="00E83AE5" w:rsidRDefault="002C1661" w:rsidP="00E83AE5">
      <w:pPr>
        <w:pStyle w:val="Paragraphedeliste"/>
        <w:numPr>
          <w:ilvl w:val="0"/>
          <w:numId w:val="3"/>
        </w:numPr>
        <w:tabs>
          <w:tab w:val="left" w:pos="2817"/>
        </w:tabs>
        <w:spacing w:line="300" w:lineRule="atLeast"/>
        <w:ind w:right="-428" w:hanging="720"/>
        <w:rPr>
          <w:rFonts w:ascii="Arial" w:hAnsi="Arial" w:cs="Arial"/>
        </w:rPr>
      </w:pPr>
      <w:r>
        <w:rPr>
          <w:rFonts w:ascii="Arial" w:hAnsi="Arial" w:cs="Arial"/>
        </w:rPr>
        <w:t>Les frais médicaux non rembours</w:t>
      </w:r>
      <w:r w:rsidR="00E83AE5">
        <w:rPr>
          <w:rFonts w:ascii="Arial" w:hAnsi="Arial" w:cs="Arial"/>
        </w:rPr>
        <w:t>és par l’assurance maladie excédents le 5% de vos revenus nets.</w:t>
      </w:r>
    </w:p>
    <w:p w:rsidR="00E83AE5" w:rsidRDefault="00E83AE5" w:rsidP="00E83AE5">
      <w:pPr>
        <w:pStyle w:val="Paragraphedeliste"/>
        <w:numPr>
          <w:ilvl w:val="0"/>
          <w:numId w:val="3"/>
        </w:numPr>
        <w:tabs>
          <w:tab w:val="left" w:pos="2817"/>
        </w:tabs>
        <w:spacing w:line="300" w:lineRule="atLeast"/>
        <w:ind w:right="-428" w:hanging="720"/>
        <w:rPr>
          <w:rFonts w:ascii="Arial" w:hAnsi="Arial" w:cs="Arial"/>
        </w:rPr>
      </w:pPr>
      <w:r>
        <w:rPr>
          <w:rFonts w:ascii="Arial" w:hAnsi="Arial" w:cs="Arial"/>
        </w:rPr>
        <w:t>Justificatifs des intérêts débiteurs payés, ainsi que les soldes encore dus au 31 décembre.</w:t>
      </w:r>
    </w:p>
    <w:p w:rsidR="00E83AE5" w:rsidRDefault="00E83AE5" w:rsidP="00E83AE5">
      <w:pPr>
        <w:pStyle w:val="Paragraphedeliste"/>
        <w:numPr>
          <w:ilvl w:val="0"/>
          <w:numId w:val="3"/>
        </w:numPr>
        <w:tabs>
          <w:tab w:val="left" w:pos="2817"/>
        </w:tabs>
        <w:spacing w:line="300" w:lineRule="atLeast"/>
        <w:ind w:right="-428" w:hanging="720"/>
        <w:rPr>
          <w:rFonts w:ascii="Arial" w:hAnsi="Arial" w:cs="Arial"/>
        </w:rPr>
      </w:pPr>
      <w:r>
        <w:rPr>
          <w:rFonts w:ascii="Arial" w:hAnsi="Arial" w:cs="Arial"/>
        </w:rPr>
        <w:t>Copie du bail (des baux) à loyer valable(s) pour l’année fiscale.</w:t>
      </w:r>
    </w:p>
    <w:p w:rsidR="002C1661" w:rsidRPr="002C1661" w:rsidRDefault="00E83AE5" w:rsidP="00E83AE5">
      <w:pPr>
        <w:pStyle w:val="Paragraphedeliste"/>
        <w:numPr>
          <w:ilvl w:val="0"/>
          <w:numId w:val="3"/>
        </w:numPr>
        <w:tabs>
          <w:tab w:val="left" w:pos="2817"/>
        </w:tabs>
        <w:spacing w:line="300" w:lineRule="atLeast"/>
        <w:ind w:right="-428" w:hanging="720"/>
        <w:rPr>
          <w:rFonts w:ascii="Arial" w:hAnsi="Arial" w:cs="Arial"/>
        </w:rPr>
      </w:pPr>
      <w:r>
        <w:rPr>
          <w:rFonts w:ascii="Arial" w:hAnsi="Arial" w:cs="Arial"/>
        </w:rPr>
        <w:t>Valeur de rachat des assurances-vie au 31 décembre, éventuellement nouveau contrat.</w:t>
      </w:r>
      <w:r w:rsidR="002C1661">
        <w:rPr>
          <w:rFonts w:ascii="Arial" w:hAnsi="Arial" w:cs="Arial"/>
        </w:rPr>
        <w:t xml:space="preserve">  </w:t>
      </w:r>
    </w:p>
    <w:sectPr w:rsidR="002C1661" w:rsidRPr="002C1661" w:rsidSect="00383C6B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7A" w:rsidRDefault="00E40A7A" w:rsidP="0070202D">
      <w:r>
        <w:separator/>
      </w:r>
    </w:p>
  </w:endnote>
  <w:endnote w:type="continuationSeparator" w:id="0">
    <w:p w:rsidR="00E40A7A" w:rsidRDefault="00E40A7A" w:rsidP="007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D" w:rsidRPr="0070202D" w:rsidRDefault="0070202D" w:rsidP="00383C6B">
    <w:pPr>
      <w:pStyle w:val="Pieddepage"/>
      <w:pBdr>
        <w:top w:val="single" w:sz="12" w:space="7" w:color="1F4E79" w:themeColor="accent1" w:themeShade="80"/>
      </w:pBdr>
      <w:tabs>
        <w:tab w:val="left" w:pos="426"/>
      </w:tabs>
      <w:jc w:val="center"/>
      <w:rPr>
        <w:b/>
        <w:color w:val="1F4E79" w:themeColor="accent1" w:themeShade="80"/>
      </w:rPr>
    </w:pPr>
    <w:r w:rsidRPr="0070202D">
      <w:rPr>
        <w:b/>
        <w:color w:val="1F4E79" w:themeColor="accent1" w:themeShade="80"/>
      </w:rPr>
      <w:t>Cofidex SA - Rue du Grand-Pont 2bis - Case postale 5727 - 100</w:t>
    </w:r>
    <w:r w:rsidR="0065291F">
      <w:rPr>
        <w:b/>
        <w:color w:val="1F4E79" w:themeColor="accent1" w:themeShade="80"/>
      </w:rPr>
      <w:t>2 Lausanne</w:t>
    </w:r>
    <w:r w:rsidRPr="0070202D">
      <w:rPr>
        <w:b/>
        <w:color w:val="1F4E79" w:themeColor="accent1" w:themeShade="80"/>
      </w:rPr>
      <w:t xml:space="preserve"> – </w:t>
    </w:r>
    <w:hyperlink r:id="rId1" w:history="1">
      <w:r w:rsidRPr="0070202D">
        <w:rPr>
          <w:rStyle w:val="Lienhypertexte"/>
          <w:b/>
          <w:color w:val="1F4E79" w:themeColor="accent1" w:themeShade="80"/>
        </w:rPr>
        <w:t>www.cofidex.ch</w:t>
      </w:r>
    </w:hyperlink>
  </w:p>
  <w:p w:rsidR="0070202D" w:rsidRPr="0070202D" w:rsidRDefault="0070202D" w:rsidP="0070202D">
    <w:pPr>
      <w:pStyle w:val="Pieddepage"/>
      <w:tabs>
        <w:tab w:val="left" w:pos="426"/>
      </w:tabs>
      <w:jc w:val="center"/>
      <w:rPr>
        <w:b/>
        <w:color w:val="1F4E79" w:themeColor="accent1" w:themeShade="80"/>
      </w:rPr>
    </w:pPr>
    <w:r w:rsidRPr="0070202D">
      <w:rPr>
        <w:b/>
        <w:color w:val="1F4E79" w:themeColor="accent1" w:themeShade="80"/>
      </w:rPr>
      <w:t>Tél. 021 614 00 40 / Fax 021 614 00 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7A" w:rsidRDefault="00E40A7A" w:rsidP="0070202D">
      <w:r>
        <w:separator/>
      </w:r>
    </w:p>
  </w:footnote>
  <w:footnote w:type="continuationSeparator" w:id="0">
    <w:p w:rsidR="00E40A7A" w:rsidRDefault="00E40A7A" w:rsidP="0070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2D" w:rsidRDefault="0070202D" w:rsidP="0070202D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2400300" cy="564885"/>
          <wp:effectExtent l="0" t="0" r="0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dex transpare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771" cy="57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02D" w:rsidRDefault="0070202D" w:rsidP="00383C6B">
    <w:pPr>
      <w:pStyle w:val="En-tte"/>
      <w:pBdr>
        <w:bottom w:val="single" w:sz="12" w:space="1" w:color="1F4E79" w:themeColor="accent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E4F"/>
    <w:multiLevelType w:val="hybridMultilevel"/>
    <w:tmpl w:val="26DA01A2"/>
    <w:lvl w:ilvl="0" w:tplc="25B02EE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4659"/>
    <w:multiLevelType w:val="hybridMultilevel"/>
    <w:tmpl w:val="228820DA"/>
    <w:lvl w:ilvl="0" w:tplc="10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63C3AE1"/>
    <w:multiLevelType w:val="hybridMultilevel"/>
    <w:tmpl w:val="05B69630"/>
    <w:lvl w:ilvl="0" w:tplc="A064B0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EA"/>
    <w:rsid w:val="000451DE"/>
    <w:rsid w:val="000A2771"/>
    <w:rsid w:val="000B3DB8"/>
    <w:rsid w:val="000C3BEB"/>
    <w:rsid w:val="000D344A"/>
    <w:rsid w:val="000E1F2B"/>
    <w:rsid w:val="00176C27"/>
    <w:rsid w:val="00191FDA"/>
    <w:rsid w:val="0022020F"/>
    <w:rsid w:val="00245C31"/>
    <w:rsid w:val="0029058A"/>
    <w:rsid w:val="002C1661"/>
    <w:rsid w:val="002C3324"/>
    <w:rsid w:val="002E410D"/>
    <w:rsid w:val="00383C6B"/>
    <w:rsid w:val="003E0FC6"/>
    <w:rsid w:val="003F5E93"/>
    <w:rsid w:val="004047EA"/>
    <w:rsid w:val="004C7AB7"/>
    <w:rsid w:val="004D1B15"/>
    <w:rsid w:val="004D7CFB"/>
    <w:rsid w:val="00523CF0"/>
    <w:rsid w:val="00534E11"/>
    <w:rsid w:val="005367E4"/>
    <w:rsid w:val="00536A03"/>
    <w:rsid w:val="00592C18"/>
    <w:rsid w:val="005A0C2E"/>
    <w:rsid w:val="005A1156"/>
    <w:rsid w:val="00603A34"/>
    <w:rsid w:val="0065291F"/>
    <w:rsid w:val="00670633"/>
    <w:rsid w:val="00687E2E"/>
    <w:rsid w:val="006F01A9"/>
    <w:rsid w:val="00700F99"/>
    <w:rsid w:val="0070202D"/>
    <w:rsid w:val="0075079A"/>
    <w:rsid w:val="00781E9A"/>
    <w:rsid w:val="008453E0"/>
    <w:rsid w:val="00872830"/>
    <w:rsid w:val="00893F8C"/>
    <w:rsid w:val="00894CC5"/>
    <w:rsid w:val="008B5082"/>
    <w:rsid w:val="00976662"/>
    <w:rsid w:val="00987954"/>
    <w:rsid w:val="009A5F41"/>
    <w:rsid w:val="009E2B78"/>
    <w:rsid w:val="00A616D9"/>
    <w:rsid w:val="00A7170D"/>
    <w:rsid w:val="00AA620D"/>
    <w:rsid w:val="00AE30B9"/>
    <w:rsid w:val="00B77357"/>
    <w:rsid w:val="00B775F6"/>
    <w:rsid w:val="00B77DB1"/>
    <w:rsid w:val="00BA3DA9"/>
    <w:rsid w:val="00BF3A7A"/>
    <w:rsid w:val="00C57681"/>
    <w:rsid w:val="00C9035E"/>
    <w:rsid w:val="00CF1F3C"/>
    <w:rsid w:val="00D00114"/>
    <w:rsid w:val="00D23C29"/>
    <w:rsid w:val="00D4275F"/>
    <w:rsid w:val="00D469D1"/>
    <w:rsid w:val="00DE70A2"/>
    <w:rsid w:val="00E40A7A"/>
    <w:rsid w:val="00E41BA9"/>
    <w:rsid w:val="00E43A28"/>
    <w:rsid w:val="00E54F4C"/>
    <w:rsid w:val="00E83AE5"/>
    <w:rsid w:val="00F11F8A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DB39A8-40E5-4A4D-A01E-7D12DCC4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5E93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0202D"/>
  </w:style>
  <w:style w:type="paragraph" w:styleId="Pieddepage">
    <w:name w:val="footer"/>
    <w:basedOn w:val="Normal"/>
    <w:link w:val="PieddepageCar"/>
    <w:uiPriority w:val="99"/>
    <w:unhideWhenUsed/>
    <w:rsid w:val="00702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0202D"/>
  </w:style>
  <w:style w:type="character" w:styleId="Lienhypertexte">
    <w:name w:val="Hyperlink"/>
    <w:basedOn w:val="Policepardfaut"/>
    <w:uiPriority w:val="99"/>
    <w:unhideWhenUsed/>
    <w:rsid w:val="007020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8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8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F5E93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53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fidex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\Documents\Mod&#232;les%20Office%20personnalis&#233;s\entete%20cofide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cofidex.dotx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Wuethrich</dc:creator>
  <cp:keywords/>
  <dc:description/>
  <cp:lastModifiedBy>ADMIN COFIDEX</cp:lastModifiedBy>
  <cp:revision>2</cp:revision>
  <cp:lastPrinted>2017-02-13T10:00:00Z</cp:lastPrinted>
  <dcterms:created xsi:type="dcterms:W3CDTF">2017-02-13T16:45:00Z</dcterms:created>
  <dcterms:modified xsi:type="dcterms:W3CDTF">2017-02-13T16:45:00Z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